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41A20" w14:textId="77777777" w:rsidR="00541B3D" w:rsidRDefault="00541B3D" w:rsidP="00541B3D">
      <w:pPr>
        <w:pStyle w:val="NoSpacing"/>
      </w:pPr>
    </w:p>
    <w:p w14:paraId="38F54984" w14:textId="08371671" w:rsidR="00541B3D" w:rsidRDefault="00541B3D" w:rsidP="00541B3D">
      <w:pPr>
        <w:pStyle w:val="Heading2"/>
      </w:pPr>
      <w:r>
        <w:t>Introduction</w:t>
      </w:r>
    </w:p>
    <w:p w14:paraId="6363AD3B" w14:textId="77777777" w:rsidR="00541B3D" w:rsidRDefault="00541B3D" w:rsidP="00541B3D">
      <w:pPr>
        <w:pStyle w:val="NoSpacing"/>
      </w:pPr>
    </w:p>
    <w:p w14:paraId="6FA71842" w14:textId="77777777" w:rsidR="006F7528" w:rsidRPr="006F7528" w:rsidRDefault="006F7528" w:rsidP="006F7528">
      <w:pPr>
        <w:pStyle w:val="NoSpacing"/>
      </w:pPr>
      <w:r w:rsidRPr="006F7528">
        <w:t>The Endowment Fund was launched in 2019 to support projects through sponsorship, with endowment funds.</w:t>
      </w:r>
    </w:p>
    <w:p w14:paraId="785A8326" w14:textId="77777777" w:rsidR="006F7528" w:rsidRPr="006F7528" w:rsidRDefault="006F7528" w:rsidP="006F7528">
      <w:pPr>
        <w:pStyle w:val="NoSpacing"/>
        <w:numPr>
          <w:ilvl w:val="0"/>
          <w:numId w:val="4"/>
        </w:numPr>
      </w:pPr>
      <w:r w:rsidRPr="006F7528">
        <w:t>The Endowment Fund promotes, supports, and develops projects in France and around the world.</w:t>
      </w:r>
    </w:p>
    <w:p w14:paraId="43664DA7" w14:textId="77777777" w:rsidR="006F7528" w:rsidRPr="006F7528" w:rsidRDefault="006F7528" w:rsidP="006F7528">
      <w:pPr>
        <w:pStyle w:val="NoSpacing"/>
        <w:numPr>
          <w:ilvl w:val="0"/>
          <w:numId w:val="4"/>
        </w:numPr>
      </w:pPr>
      <w:r w:rsidRPr="00F92865">
        <w:rPr>
          <w:b/>
          <w:bCs/>
        </w:rPr>
        <w:t>Five projects were supported in 2021, primarily in India</w:t>
      </w:r>
      <w:r w:rsidRPr="006F7528">
        <w:t>, with a focus on soil research.</w:t>
      </w:r>
    </w:p>
    <w:p w14:paraId="548D417A" w14:textId="77777777" w:rsidR="006F7528" w:rsidRDefault="006F7528" w:rsidP="00541B3D">
      <w:pPr>
        <w:pStyle w:val="NoSpacing"/>
      </w:pPr>
    </w:p>
    <w:p w14:paraId="40C34903" w14:textId="77777777" w:rsidR="006F7528" w:rsidRDefault="006F7528" w:rsidP="00541B3D">
      <w:pPr>
        <w:pStyle w:val="NoSpacing"/>
      </w:pPr>
      <w:r w:rsidRPr="006F7528">
        <w:t xml:space="preserve">The Endowment Fund launched a call for projects in </w:t>
      </w:r>
      <w:r w:rsidRPr="00277BA5">
        <w:rPr>
          <w:b/>
          <w:bCs/>
        </w:rPr>
        <w:t>January 2025</w:t>
      </w:r>
      <w:r w:rsidRPr="006F7528">
        <w:t xml:space="preserve"> with four main focuses: preserving soil quality, training farmers, increasing the productivity of agricultural systems, and scientific research. </w:t>
      </w:r>
    </w:p>
    <w:p w14:paraId="1CB024F2" w14:textId="77777777" w:rsidR="006F7528" w:rsidRDefault="006F7528" w:rsidP="006F7528">
      <w:pPr>
        <w:pStyle w:val="NoSpacing"/>
        <w:numPr>
          <w:ilvl w:val="0"/>
          <w:numId w:val="5"/>
        </w:numPr>
      </w:pPr>
      <w:r w:rsidRPr="006F7528">
        <w:t xml:space="preserve">Projects must be of general interest and can receive a grant of €200,000 to €400,000. Applications close on April 20, 2025. </w:t>
      </w:r>
    </w:p>
    <w:p w14:paraId="322716AF" w14:textId="77777777" w:rsidR="006F7528" w:rsidRDefault="006F7528" w:rsidP="006F7528">
      <w:pPr>
        <w:pStyle w:val="NoSpacing"/>
        <w:numPr>
          <w:ilvl w:val="0"/>
          <w:numId w:val="5"/>
        </w:numPr>
      </w:pPr>
      <w:r w:rsidRPr="006F7528">
        <w:t xml:space="preserve">Projects will be evaluated by a board of directors accompanied by experts. The results must be made public. </w:t>
      </w:r>
    </w:p>
    <w:p w14:paraId="2B8A4CC8" w14:textId="2C862ADC" w:rsidR="006F7528" w:rsidRDefault="006F7528" w:rsidP="006F7528">
      <w:pPr>
        <w:pStyle w:val="NoSpacing"/>
        <w:numPr>
          <w:ilvl w:val="0"/>
          <w:numId w:val="5"/>
        </w:numPr>
      </w:pPr>
      <w:r w:rsidRPr="006F7528">
        <w:t>Projects may include co-financing and multi-stakeholder partnerships. International projects are also eligible.</w:t>
      </w:r>
    </w:p>
    <w:p w14:paraId="59B079F2" w14:textId="77777777" w:rsidR="00277BA5" w:rsidRDefault="00277BA5" w:rsidP="00277BA5">
      <w:pPr>
        <w:pStyle w:val="NoSpacing"/>
      </w:pPr>
    </w:p>
    <w:p w14:paraId="1C1AF688" w14:textId="77777777" w:rsidR="00DC08BD" w:rsidRPr="00DC08BD" w:rsidRDefault="00DC08BD" w:rsidP="00DC08BD">
      <w:pPr>
        <w:pStyle w:val="NoSpacing"/>
        <w:rPr>
          <w:lang w:val="en-BE"/>
        </w:rPr>
      </w:pPr>
      <w:r w:rsidRPr="00DC08BD">
        <w:rPr>
          <w:lang w:val="en-BE"/>
        </w:rPr>
        <w:t>In India, the Fund has supported two notable projects:</w:t>
      </w:r>
      <w:r w:rsidRPr="00DC08BD">
        <w:rPr>
          <w:rFonts w:ascii="Arial" w:hAnsi="Arial" w:cs="Arial"/>
          <w:lang w:val="en-BE"/>
        </w:rPr>
        <w:t>​</w:t>
      </w:r>
    </w:p>
    <w:p w14:paraId="51706D56" w14:textId="1F787DBF" w:rsidR="00DC08BD" w:rsidRPr="00DC08BD" w:rsidRDefault="00DC08BD" w:rsidP="00DC08BD">
      <w:pPr>
        <w:pStyle w:val="NoSpacing"/>
        <w:numPr>
          <w:ilvl w:val="0"/>
          <w:numId w:val="8"/>
        </w:numPr>
        <w:rPr>
          <w:lang w:val="en-BE"/>
        </w:rPr>
      </w:pPr>
      <w:r w:rsidRPr="00DC08BD">
        <w:rPr>
          <w:b/>
          <w:bCs/>
          <w:lang w:val="en-BE"/>
        </w:rPr>
        <w:t>IRD Sediment Study in the Berambadi Catchment Area</w:t>
      </w:r>
      <w:r w:rsidRPr="00DC08BD">
        <w:rPr>
          <w:lang w:val="en-BE"/>
        </w:rPr>
        <w:t xml:space="preserve">: This project focuses on studying sediment dynamics to enhance sustainable agricultural practices in the region. </w:t>
      </w:r>
      <w:r w:rsidRPr="00DC08BD">
        <w:rPr>
          <w:rFonts w:ascii="Arial" w:hAnsi="Arial" w:cs="Arial"/>
          <w:lang w:val="en-BE"/>
        </w:rPr>
        <w:t>​</w:t>
      </w:r>
      <w:hyperlink r:id="rId7" w:tgtFrame="_blank" w:history="1">
        <w:r w:rsidRPr="00DC08BD">
          <w:rPr>
            <w:rStyle w:val="Hyperlink"/>
            <w:lang w:val="en-BE"/>
          </w:rPr>
          <w:t>Fonds de Dotation Roullier+3Nature+3Fonds de Dotation Rou</w:t>
        </w:r>
        <w:r w:rsidRPr="00DC08BD">
          <w:rPr>
            <w:rStyle w:val="Hyperlink"/>
            <w:lang w:val="en-BE"/>
          </w:rPr>
          <w:t>llier</w:t>
        </w:r>
      </w:hyperlink>
    </w:p>
    <w:p w14:paraId="611F6358" w14:textId="77777777" w:rsidR="00DC08BD" w:rsidRPr="00DC08BD" w:rsidRDefault="00DC08BD" w:rsidP="00DC08BD">
      <w:pPr>
        <w:pStyle w:val="NoSpacing"/>
        <w:numPr>
          <w:ilvl w:val="0"/>
          <w:numId w:val="8"/>
        </w:numPr>
        <w:rPr>
          <w:lang w:val="en-BE"/>
        </w:rPr>
      </w:pPr>
      <w:r w:rsidRPr="00DC08BD">
        <w:rPr>
          <w:b/>
          <w:bCs/>
          <w:lang w:val="en-BE"/>
        </w:rPr>
        <w:t>Plant Inoculation Project</w:t>
      </w:r>
      <w:r w:rsidRPr="00DC08BD">
        <w:rPr>
          <w:lang w:val="en-BE"/>
        </w:rPr>
        <w:t xml:space="preserve">: Conducted in partnership with the Institut de Recherche pour le Développement (IRD), this initiative aims to improve plant health and yield through inoculation techniques. </w:t>
      </w:r>
      <w:r w:rsidRPr="00DC08BD">
        <w:rPr>
          <w:rFonts w:ascii="Arial" w:hAnsi="Arial" w:cs="Arial"/>
          <w:lang w:val="en-BE"/>
        </w:rPr>
        <w:t>​</w:t>
      </w:r>
    </w:p>
    <w:p w14:paraId="5615F81F" w14:textId="77777777" w:rsidR="00DC08BD" w:rsidRDefault="00DC08BD" w:rsidP="00277BA5">
      <w:pPr>
        <w:pStyle w:val="NoSpacing"/>
      </w:pPr>
    </w:p>
    <w:p w14:paraId="465DB7CE" w14:textId="7D3D0B0F" w:rsidR="00277BA5" w:rsidRPr="006F7528" w:rsidRDefault="00277BA5" w:rsidP="00277BA5">
      <w:pPr>
        <w:pStyle w:val="Heading2"/>
      </w:pPr>
      <w:r>
        <w:t>Q&amp;A webinar</w:t>
      </w:r>
    </w:p>
    <w:p w14:paraId="51E7F72E" w14:textId="77777777" w:rsidR="006F7528" w:rsidRDefault="006F7528" w:rsidP="00541B3D">
      <w:pPr>
        <w:pStyle w:val="NoSpacing"/>
        <w:rPr>
          <w:b/>
          <w:bCs/>
        </w:rPr>
      </w:pPr>
    </w:p>
    <w:p w14:paraId="18559CE2" w14:textId="22AEC4C7" w:rsidR="001C76C7" w:rsidRDefault="00541B3D" w:rsidP="00541B3D">
      <w:pPr>
        <w:pStyle w:val="NoSpacing"/>
      </w:pPr>
      <w:r>
        <w:rPr>
          <w:b/>
          <w:bCs/>
        </w:rPr>
        <w:t xml:space="preserve">10 + </w:t>
      </w:r>
      <w:r w:rsidRPr="00541B3D">
        <w:rPr>
          <w:b/>
          <w:bCs/>
        </w:rPr>
        <w:t>13 March 2025.</w:t>
      </w:r>
      <w:r w:rsidRPr="00541B3D">
        <w:t> </w:t>
      </w:r>
      <w:hyperlink r:id="rId8" w:history="1">
        <w:r w:rsidRPr="00C663C1">
          <w:rPr>
            <w:rStyle w:val="Hyperlink"/>
          </w:rPr>
          <w:t>AAP Recherche Sols 2025-2028: call for research projects Fonds de Dotation Roullier.</w:t>
        </w:r>
      </w:hyperlink>
    </w:p>
    <w:p w14:paraId="18395C78" w14:textId="77777777" w:rsidR="001C76C7" w:rsidRDefault="001C76C7" w:rsidP="00541B3D">
      <w:pPr>
        <w:pStyle w:val="NoSpacing"/>
      </w:pPr>
    </w:p>
    <w:p w14:paraId="5D0B85FD" w14:textId="3912D741" w:rsidR="00541B3D" w:rsidRPr="00541B3D" w:rsidRDefault="001C76C7" w:rsidP="00541B3D">
      <w:pPr>
        <w:pStyle w:val="NoSpacing"/>
      </w:pPr>
      <w:r>
        <w:t xml:space="preserve">See: </w:t>
      </w:r>
      <w:hyperlink r:id="rId9" w:history="1">
        <w:r w:rsidRPr="00433C06">
          <w:rPr>
            <w:rStyle w:val="Hyperlink"/>
          </w:rPr>
          <w:t>https://paepard.blogspot.com/2025/03/call-for-research-projects-fonds-de.html</w:t>
        </w:r>
      </w:hyperlink>
      <w:r>
        <w:t xml:space="preserve"> </w:t>
      </w:r>
      <w:r w:rsidR="00541B3D" w:rsidRPr="00541B3D">
        <w:br/>
      </w:r>
    </w:p>
    <w:p w14:paraId="1E202742" w14:textId="23FB7B9E" w:rsidR="00541B3D" w:rsidRDefault="00541B3D" w:rsidP="00541B3D">
      <w:pPr>
        <w:pStyle w:val="NoSpacing"/>
      </w:pPr>
      <w:r w:rsidRPr="00541B3D">
        <w:t>The aim of th</w:t>
      </w:r>
      <w:r>
        <w:t>e Q&amp;A</w:t>
      </w:r>
      <w:r w:rsidRPr="00541B3D">
        <w:t xml:space="preserve"> webinar</w:t>
      </w:r>
      <w:r>
        <w:t>s (</w:t>
      </w:r>
      <w:r w:rsidRPr="00277BA5">
        <w:rPr>
          <w:b/>
          <w:bCs/>
        </w:rPr>
        <w:t>10/03</w:t>
      </w:r>
      <w:r>
        <w:t xml:space="preserve"> in French + </w:t>
      </w:r>
      <w:r w:rsidRPr="00277BA5">
        <w:rPr>
          <w:b/>
          <w:bCs/>
        </w:rPr>
        <w:t>13/03</w:t>
      </w:r>
      <w:r>
        <w:t xml:space="preserve"> in English</w:t>
      </w:r>
      <w:r w:rsidRPr="00541B3D">
        <w:t xml:space="preserve"> was to answer all questions about this call for projects, which encourages innovative research into soil and the associated environmental challenges</w:t>
      </w:r>
      <w:r>
        <w:t>. The first webinar lasted 1 hour and the second webinar ½ hour</w:t>
      </w:r>
      <w:r w:rsidRPr="00541B3D">
        <w:t>.</w:t>
      </w:r>
      <w:r w:rsidR="003771F3">
        <w:t xml:space="preserve"> Some 50 participants attended the French Q&amp;A webinar.</w:t>
      </w:r>
    </w:p>
    <w:p w14:paraId="6B59627E" w14:textId="77777777" w:rsidR="00277BA5" w:rsidRDefault="00277BA5" w:rsidP="00541B3D">
      <w:pPr>
        <w:pStyle w:val="NoSpacing"/>
      </w:pPr>
    </w:p>
    <w:p w14:paraId="2E1EB32C" w14:textId="37734F5B" w:rsidR="00277BA5" w:rsidRDefault="00277BA5" w:rsidP="00277BA5">
      <w:pPr>
        <w:pStyle w:val="NoSpacing"/>
      </w:pPr>
      <w:r>
        <w:t xml:space="preserve">The </w:t>
      </w:r>
      <w:r w:rsidRPr="00277BA5">
        <w:rPr>
          <w:b/>
          <w:bCs/>
        </w:rPr>
        <w:t>four main areas</w:t>
      </w:r>
      <w:r>
        <w:t xml:space="preserve"> of the call for projects launched </w:t>
      </w:r>
      <w:r w:rsidRPr="00277BA5">
        <w:rPr>
          <w:b/>
          <w:bCs/>
        </w:rPr>
        <w:t>in January 2025</w:t>
      </w:r>
      <w:r>
        <w:t xml:space="preserve"> are</w:t>
      </w:r>
      <w:r>
        <w:t>: preserving soil quality, training farmers, increasing productivity, and scientific research.</w:t>
      </w:r>
      <w:r>
        <w:t xml:space="preserve"> </w:t>
      </w:r>
    </w:p>
    <w:p w14:paraId="6ACC7274" w14:textId="77777777" w:rsidR="00277BA5" w:rsidRDefault="00277BA5" w:rsidP="00277BA5">
      <w:pPr>
        <w:pStyle w:val="NoSpacing"/>
        <w:numPr>
          <w:ilvl w:val="0"/>
          <w:numId w:val="6"/>
        </w:numPr>
      </w:pPr>
      <w:r>
        <w:t>Soil preservation is essential for agricultural production and ecosystem services.</w:t>
      </w:r>
    </w:p>
    <w:p w14:paraId="404FB351" w14:textId="77777777" w:rsidR="00277BA5" w:rsidRDefault="00277BA5" w:rsidP="00277BA5">
      <w:pPr>
        <w:pStyle w:val="NoSpacing"/>
        <w:numPr>
          <w:ilvl w:val="0"/>
          <w:numId w:val="6"/>
        </w:numPr>
      </w:pPr>
      <w:r>
        <w:t>Farmer training is crucial for adapting agricultural practices to maintain soil health.</w:t>
      </w:r>
    </w:p>
    <w:p w14:paraId="4C9F08E9" w14:textId="77777777" w:rsidR="00277BA5" w:rsidRDefault="00277BA5" w:rsidP="00277BA5">
      <w:pPr>
        <w:pStyle w:val="NoSpacing"/>
        <w:numPr>
          <w:ilvl w:val="0"/>
          <w:numId w:val="6"/>
        </w:numPr>
      </w:pPr>
      <w:r>
        <w:lastRenderedPageBreak/>
        <w:t>Increasing the productivity of agricultural systems is necessary for agriculture to be sustainable.</w:t>
      </w:r>
    </w:p>
    <w:p w14:paraId="15339D77" w14:textId="0C25AE5C" w:rsidR="00277BA5" w:rsidRDefault="00277BA5" w:rsidP="00277BA5">
      <w:pPr>
        <w:pStyle w:val="NoSpacing"/>
        <w:numPr>
          <w:ilvl w:val="0"/>
          <w:numId w:val="6"/>
        </w:numPr>
      </w:pPr>
      <w:r>
        <w:t>Scientific research must be innovative to discover new things about soils and their biodiversity.</w:t>
      </w:r>
    </w:p>
    <w:p w14:paraId="4FC180A1" w14:textId="77777777" w:rsidR="00277BA5" w:rsidRDefault="00277BA5" w:rsidP="00277BA5">
      <w:pPr>
        <w:pStyle w:val="NoSpacing"/>
      </w:pPr>
    </w:p>
    <w:p w14:paraId="6FCC91C7" w14:textId="4D920E94" w:rsidR="00277BA5" w:rsidRPr="00277BA5" w:rsidRDefault="00277BA5" w:rsidP="00277BA5">
      <w:pPr>
        <w:pStyle w:val="NoSpacing"/>
        <w:rPr>
          <w:b/>
          <w:bCs/>
        </w:rPr>
      </w:pPr>
      <w:r w:rsidRPr="00277BA5">
        <w:rPr>
          <w:b/>
          <w:bCs/>
        </w:rPr>
        <w:t>Support Methods and Project Eligibility</w:t>
      </w:r>
    </w:p>
    <w:p w14:paraId="02118DB4" w14:textId="77777777" w:rsidR="00277BA5" w:rsidRDefault="00277BA5" w:rsidP="00277BA5">
      <w:pPr>
        <w:pStyle w:val="NoSpacing"/>
        <w:numPr>
          <w:ilvl w:val="0"/>
          <w:numId w:val="7"/>
        </w:numPr>
      </w:pPr>
      <w:r>
        <w:t>Support can take two forms: a grant of €200,000 to €400,000 to finance generic projects, and technical support provided by experts from the Roulier Group and the Global Innovation Center.</w:t>
      </w:r>
    </w:p>
    <w:p w14:paraId="7675F539" w14:textId="77777777" w:rsidR="00277BA5" w:rsidRDefault="00277BA5" w:rsidP="00277BA5">
      <w:pPr>
        <w:pStyle w:val="NoSpacing"/>
        <w:numPr>
          <w:ilvl w:val="0"/>
          <w:numId w:val="7"/>
        </w:numPr>
      </w:pPr>
      <w:r>
        <w:t>The Endowment Fund plans to select between one and three winners for project review.</w:t>
      </w:r>
    </w:p>
    <w:p w14:paraId="264D8CD0" w14:textId="77777777" w:rsidR="00277BA5" w:rsidRDefault="00277BA5" w:rsidP="00277BA5">
      <w:pPr>
        <w:pStyle w:val="NoSpacing"/>
        <w:numPr>
          <w:ilvl w:val="0"/>
          <w:numId w:val="7"/>
        </w:numPr>
      </w:pPr>
      <w:r>
        <w:t>Eligible organizations include higher education institutions, public research organizations, NGOs, foundations, international development organizations, institutions, and associations.</w:t>
      </w:r>
    </w:p>
    <w:p w14:paraId="081FD0C5" w14:textId="77777777" w:rsidR="00277BA5" w:rsidRDefault="00277BA5" w:rsidP="00277BA5">
      <w:pPr>
        <w:pStyle w:val="NoSpacing"/>
        <w:numPr>
          <w:ilvl w:val="0"/>
          <w:numId w:val="7"/>
        </w:numPr>
      </w:pPr>
      <w:r>
        <w:t>Projects must be of general interest, and the results will be made public.</w:t>
      </w:r>
    </w:p>
    <w:p w14:paraId="1A8101E7" w14:textId="4798DACD" w:rsidR="00541B3D" w:rsidRDefault="00277BA5" w:rsidP="00277BA5">
      <w:pPr>
        <w:pStyle w:val="NoSpacing"/>
        <w:numPr>
          <w:ilvl w:val="0"/>
          <w:numId w:val="7"/>
        </w:numPr>
      </w:pPr>
      <w:r>
        <w:t>The call for projects was launched on January 20, 2025, and applications will close on April 20, 2025.</w:t>
      </w:r>
    </w:p>
    <w:p w14:paraId="232CF626" w14:textId="77777777" w:rsidR="00277BA5" w:rsidRDefault="00277BA5" w:rsidP="00277BA5">
      <w:pPr>
        <w:pStyle w:val="NoSpacing"/>
      </w:pPr>
    </w:p>
    <w:p w14:paraId="4CC690F5" w14:textId="326397C6" w:rsidR="00541B3D" w:rsidRPr="00541B3D" w:rsidRDefault="00541B3D" w:rsidP="00541B3D">
      <w:pPr>
        <w:pStyle w:val="Heading2"/>
      </w:pPr>
      <w:r>
        <w:t>Main questions</w:t>
      </w:r>
    </w:p>
    <w:p w14:paraId="786D4A38" w14:textId="77777777" w:rsidR="00541B3D" w:rsidRDefault="00541B3D" w:rsidP="00541B3D">
      <w:pPr>
        <w:pStyle w:val="NoSpacing"/>
      </w:pPr>
    </w:p>
    <w:p w14:paraId="598D9724" w14:textId="358B3822" w:rsidR="00541B3D" w:rsidRPr="00541B3D" w:rsidRDefault="00541B3D" w:rsidP="00541B3D">
      <w:pPr>
        <w:pStyle w:val="NoSpacing"/>
        <w:rPr>
          <w:b/>
          <w:bCs/>
          <w:sz w:val="24"/>
          <w:szCs w:val="24"/>
        </w:rPr>
      </w:pPr>
      <w:r w:rsidRPr="00541B3D">
        <w:rPr>
          <w:b/>
          <w:bCs/>
          <w:sz w:val="24"/>
          <w:szCs w:val="24"/>
        </w:rPr>
        <w:t>What types of innovative sustainable soil projects are eligible for Rusty Foundation funding?</w:t>
      </w:r>
    </w:p>
    <w:p w14:paraId="4F76E53E" w14:textId="77777777" w:rsidR="00541B3D" w:rsidRDefault="00541B3D" w:rsidP="00541B3D">
      <w:pPr>
        <w:pStyle w:val="NoSpacing"/>
      </w:pPr>
    </w:p>
    <w:p w14:paraId="5060D4C7" w14:textId="3116FA50" w:rsidR="00541B3D" w:rsidRDefault="00541B3D" w:rsidP="00541B3D">
      <w:pPr>
        <w:pStyle w:val="NoSpacing"/>
      </w:pPr>
      <w:r>
        <w:t>The Rouillier Foundation is seeking innovative projects focused on four main areas:</w:t>
      </w:r>
    </w:p>
    <w:p w14:paraId="2DCFBB86" w14:textId="77777777" w:rsidR="00541B3D" w:rsidRDefault="00541B3D" w:rsidP="00541B3D">
      <w:pPr>
        <w:pStyle w:val="NoSpacing"/>
      </w:pPr>
    </w:p>
    <w:p w14:paraId="1559C65E" w14:textId="77777777" w:rsidR="00541B3D" w:rsidRDefault="00541B3D" w:rsidP="00541B3D">
      <w:pPr>
        <w:pStyle w:val="NoSpacing"/>
        <w:numPr>
          <w:ilvl w:val="0"/>
          <w:numId w:val="3"/>
        </w:numPr>
      </w:pPr>
      <w:r>
        <w:t>Preserving the quality of agricultural soils and improving their health and fertility</w:t>
      </w:r>
    </w:p>
    <w:p w14:paraId="362BDB16" w14:textId="77777777" w:rsidR="00541B3D" w:rsidRDefault="00541B3D" w:rsidP="00541B3D">
      <w:pPr>
        <w:pStyle w:val="NoSpacing"/>
        <w:numPr>
          <w:ilvl w:val="0"/>
          <w:numId w:val="3"/>
        </w:numPr>
      </w:pPr>
      <w:r>
        <w:t>Training farmers in new soil management practices</w:t>
      </w:r>
    </w:p>
    <w:p w14:paraId="21CEB643" w14:textId="77777777" w:rsidR="00541B3D" w:rsidRDefault="00541B3D" w:rsidP="00541B3D">
      <w:pPr>
        <w:pStyle w:val="NoSpacing"/>
        <w:numPr>
          <w:ilvl w:val="0"/>
          <w:numId w:val="3"/>
        </w:numPr>
      </w:pPr>
      <w:r>
        <w:t>Increasing the productivity of agricultural systems</w:t>
      </w:r>
    </w:p>
    <w:p w14:paraId="47A2CA82" w14:textId="77777777" w:rsidR="00541B3D" w:rsidRDefault="00541B3D" w:rsidP="00541B3D">
      <w:pPr>
        <w:pStyle w:val="NoSpacing"/>
        <w:numPr>
          <w:ilvl w:val="0"/>
          <w:numId w:val="3"/>
        </w:numPr>
      </w:pPr>
      <w:r>
        <w:t>Promoting scientific research on soils</w:t>
      </w:r>
    </w:p>
    <w:p w14:paraId="4B3FAB14" w14:textId="77777777" w:rsidR="00541B3D" w:rsidRDefault="00541B3D" w:rsidP="00541B3D">
      <w:pPr>
        <w:pStyle w:val="NoSpacing"/>
      </w:pPr>
    </w:p>
    <w:p w14:paraId="6492ED8A" w14:textId="77777777" w:rsidR="00541B3D" w:rsidRDefault="00541B3D" w:rsidP="00541B3D">
      <w:pPr>
        <w:pStyle w:val="NoSpacing"/>
      </w:pPr>
      <w:r>
        <w:t>Projects must combine research and practical application, with a direct connection to farmers. They can focus on:</w:t>
      </w:r>
    </w:p>
    <w:p w14:paraId="34C1F67E" w14:textId="77777777" w:rsidR="00541B3D" w:rsidRDefault="00541B3D" w:rsidP="00541B3D">
      <w:pPr>
        <w:pStyle w:val="NoSpacing"/>
        <w:numPr>
          <w:ilvl w:val="0"/>
          <w:numId w:val="2"/>
        </w:numPr>
      </w:pPr>
      <w:r>
        <w:t>Soil structure</w:t>
      </w:r>
    </w:p>
    <w:p w14:paraId="506D1AB6" w14:textId="77777777" w:rsidR="00541B3D" w:rsidRDefault="00541B3D" w:rsidP="00541B3D">
      <w:pPr>
        <w:pStyle w:val="NoSpacing"/>
        <w:numPr>
          <w:ilvl w:val="0"/>
          <w:numId w:val="2"/>
        </w:numPr>
      </w:pPr>
      <w:r>
        <w:t>Soil biodiversity</w:t>
      </w:r>
    </w:p>
    <w:p w14:paraId="075C5D1C" w14:textId="77777777" w:rsidR="00541B3D" w:rsidRDefault="00541B3D" w:rsidP="00541B3D">
      <w:pPr>
        <w:pStyle w:val="NoSpacing"/>
        <w:numPr>
          <w:ilvl w:val="0"/>
          <w:numId w:val="2"/>
        </w:numPr>
      </w:pPr>
      <w:r>
        <w:t>Ecosystem services</w:t>
      </w:r>
    </w:p>
    <w:p w14:paraId="4B0803E9" w14:textId="77777777" w:rsidR="00541B3D" w:rsidRDefault="00541B3D" w:rsidP="00541B3D">
      <w:pPr>
        <w:pStyle w:val="NoSpacing"/>
        <w:numPr>
          <w:ilvl w:val="0"/>
          <w:numId w:val="2"/>
        </w:numPr>
      </w:pPr>
      <w:r>
        <w:t>New sustainable agricultural practices</w:t>
      </w:r>
    </w:p>
    <w:p w14:paraId="0D8AE2FB" w14:textId="77777777" w:rsidR="00541B3D" w:rsidRDefault="00541B3D" w:rsidP="00541B3D">
      <w:pPr>
        <w:pStyle w:val="NoSpacing"/>
      </w:pPr>
    </w:p>
    <w:p w14:paraId="243268CA" w14:textId="77777777" w:rsidR="00541B3D" w:rsidRDefault="00541B3D" w:rsidP="00541B3D">
      <w:pPr>
        <w:pStyle w:val="NoSpacing"/>
      </w:pPr>
      <w:r>
        <w:t>Projects can be:</w:t>
      </w:r>
    </w:p>
    <w:p w14:paraId="165FB94D" w14:textId="77777777" w:rsidR="00541B3D" w:rsidRDefault="00541B3D" w:rsidP="00541B3D">
      <w:pPr>
        <w:pStyle w:val="NoSpacing"/>
        <w:numPr>
          <w:ilvl w:val="0"/>
          <w:numId w:val="1"/>
        </w:numPr>
      </w:pPr>
      <w:r>
        <w:t>Led by research institutions, universities, NGOs, or associations</w:t>
      </w:r>
    </w:p>
    <w:p w14:paraId="52525972" w14:textId="77777777" w:rsidR="00541B3D" w:rsidRDefault="00541B3D" w:rsidP="00541B3D">
      <w:pPr>
        <w:pStyle w:val="NoSpacing"/>
        <w:numPr>
          <w:ilvl w:val="0"/>
          <w:numId w:val="1"/>
        </w:numPr>
      </w:pPr>
      <w:r>
        <w:t>Multi-stakeholder</w:t>
      </w:r>
    </w:p>
    <w:p w14:paraId="3C34BEA1" w14:textId="77777777" w:rsidR="00541B3D" w:rsidRDefault="00541B3D" w:rsidP="00541B3D">
      <w:pPr>
        <w:pStyle w:val="NoSpacing"/>
        <w:numPr>
          <w:ilvl w:val="0"/>
          <w:numId w:val="1"/>
        </w:numPr>
      </w:pPr>
      <w:r>
        <w:t>Focused on France or internationally</w:t>
      </w:r>
    </w:p>
    <w:p w14:paraId="6D05A02B" w14:textId="77777777" w:rsidR="00541B3D" w:rsidRDefault="00541B3D" w:rsidP="00541B3D">
      <w:pPr>
        <w:pStyle w:val="NoSpacing"/>
        <w:numPr>
          <w:ilvl w:val="0"/>
          <w:numId w:val="1"/>
        </w:numPr>
      </w:pPr>
      <w:r>
        <w:t>With an innovation and applied research dimension</w:t>
      </w:r>
    </w:p>
    <w:p w14:paraId="14186466" w14:textId="01A27C08" w:rsidR="001C76C7" w:rsidRDefault="001C76C7" w:rsidP="00541B3D">
      <w:pPr>
        <w:pStyle w:val="NoSpacing"/>
        <w:numPr>
          <w:ilvl w:val="0"/>
          <w:numId w:val="1"/>
        </w:numPr>
      </w:pPr>
      <w:r w:rsidRPr="001C76C7">
        <w:t>the solidity of the project is the key, not geography</w:t>
      </w:r>
    </w:p>
    <w:p w14:paraId="41740AE3" w14:textId="4613D8AF" w:rsidR="001C76C7" w:rsidRDefault="001C76C7" w:rsidP="00541B3D">
      <w:pPr>
        <w:pStyle w:val="NoSpacing"/>
        <w:numPr>
          <w:ilvl w:val="0"/>
          <w:numId w:val="1"/>
        </w:numPr>
      </w:pPr>
      <w:r w:rsidRPr="001C76C7">
        <w:lastRenderedPageBreak/>
        <w:t>projects must address at least one dimension of the four main axes, but it is not necessary to check all four.</w:t>
      </w:r>
    </w:p>
    <w:p w14:paraId="0BDE780D" w14:textId="77777777" w:rsidR="00541B3D" w:rsidRDefault="00541B3D" w:rsidP="00541B3D">
      <w:pPr>
        <w:pStyle w:val="NoSpacing"/>
      </w:pPr>
    </w:p>
    <w:p w14:paraId="5DE9AAA0" w14:textId="70B049E2" w:rsidR="00EA7121" w:rsidRDefault="00541B3D" w:rsidP="00541B3D">
      <w:pPr>
        <w:pStyle w:val="NoSpacing"/>
      </w:pPr>
      <w:r>
        <w:t>The objective is to support projects that improve the understanding and management of soils while enabling farmers to make a decent living from their production.</w:t>
      </w:r>
    </w:p>
    <w:p w14:paraId="6833BFA8" w14:textId="77777777" w:rsidR="00541B3D" w:rsidRDefault="00541B3D" w:rsidP="00541B3D">
      <w:pPr>
        <w:pStyle w:val="NoSpacing"/>
      </w:pPr>
    </w:p>
    <w:p w14:paraId="08FC8CCF" w14:textId="77777777" w:rsidR="00277BA5" w:rsidRDefault="00277BA5" w:rsidP="00541B3D">
      <w:pPr>
        <w:pStyle w:val="NoSpacing"/>
      </w:pPr>
    </w:p>
    <w:p w14:paraId="26EA4F1E" w14:textId="32B82F04" w:rsidR="00541B3D" w:rsidRDefault="00277BA5" w:rsidP="00541B3D">
      <w:pPr>
        <w:pStyle w:val="NoSpacing"/>
        <w:rPr>
          <w:b/>
          <w:bCs/>
        </w:rPr>
      </w:pPr>
      <w:r w:rsidRPr="00277BA5">
        <w:rPr>
          <w:b/>
          <w:bCs/>
        </w:rPr>
        <w:t>C</w:t>
      </w:r>
      <w:r w:rsidRPr="00277BA5">
        <w:rPr>
          <w:b/>
          <w:bCs/>
        </w:rPr>
        <w:t>o-financing and the method of payment of subsidies.</w:t>
      </w:r>
    </w:p>
    <w:p w14:paraId="4B4E8913" w14:textId="20E22B43" w:rsidR="00277BA5" w:rsidRDefault="00277BA5" w:rsidP="00DC08BD">
      <w:pPr>
        <w:pStyle w:val="NoSpacing"/>
        <w:numPr>
          <w:ilvl w:val="0"/>
          <w:numId w:val="9"/>
        </w:numPr>
      </w:pPr>
      <w:r w:rsidRPr="00277BA5">
        <w:t>the co-financing agreement will be negotiated with the partners and that payments will be made in installments conditional on a technical financial report.</w:t>
      </w:r>
    </w:p>
    <w:p w14:paraId="33062D24" w14:textId="2E85B5B3" w:rsidR="00277BA5" w:rsidRDefault="00277BA5" w:rsidP="00DC08BD">
      <w:pPr>
        <w:pStyle w:val="NoSpacing"/>
        <w:numPr>
          <w:ilvl w:val="0"/>
          <w:numId w:val="9"/>
        </w:numPr>
      </w:pPr>
      <w:r w:rsidRPr="00277BA5">
        <w:t>Non-priority countries can submit projects, but funding will focus on priority areas.</w:t>
      </w:r>
    </w:p>
    <w:p w14:paraId="5F5DF08F" w14:textId="1D77C698" w:rsidR="00DC08BD" w:rsidRDefault="00DC08BD" w:rsidP="00DC08BD">
      <w:pPr>
        <w:pStyle w:val="NoSpacing"/>
        <w:numPr>
          <w:ilvl w:val="0"/>
          <w:numId w:val="9"/>
        </w:numPr>
      </w:pPr>
      <w:r w:rsidRPr="00DC08BD">
        <w:t>The percentage of funding is not defined and will depend on the projects and actions.</w:t>
      </w:r>
    </w:p>
    <w:p w14:paraId="0910FBCB" w14:textId="6A449A61" w:rsidR="00DC08BD" w:rsidRDefault="00DC08BD" w:rsidP="00DC08BD">
      <w:pPr>
        <w:pStyle w:val="NoSpacing"/>
        <w:numPr>
          <w:ilvl w:val="0"/>
          <w:numId w:val="9"/>
        </w:numPr>
      </w:pPr>
      <w:r>
        <w:t>T</w:t>
      </w:r>
      <w:r w:rsidRPr="00DC08BD">
        <w:t>he number of partners is not a selection criterion, but that it is preferable to have trusted partners.</w:t>
      </w:r>
    </w:p>
    <w:p w14:paraId="1136F83D" w14:textId="77777777" w:rsidR="00DC08BD" w:rsidRDefault="00DC08BD" w:rsidP="00DC08BD">
      <w:pPr>
        <w:pStyle w:val="NoSpacing"/>
      </w:pPr>
    </w:p>
    <w:p w14:paraId="4FFD205F" w14:textId="6DD5EFF8" w:rsidR="00DC08BD" w:rsidRPr="00DC08BD" w:rsidRDefault="00DC08BD" w:rsidP="00DC08BD">
      <w:pPr>
        <w:pStyle w:val="NoSpacing"/>
        <w:rPr>
          <w:b/>
          <w:bCs/>
        </w:rPr>
      </w:pPr>
      <w:r>
        <w:rPr>
          <w:b/>
          <w:bCs/>
        </w:rPr>
        <w:t>D</w:t>
      </w:r>
      <w:r w:rsidRPr="00DC08BD">
        <w:rPr>
          <w:b/>
          <w:bCs/>
        </w:rPr>
        <w:t>etails on supporting documents and partnerships.</w:t>
      </w:r>
    </w:p>
    <w:p w14:paraId="0AF1BFEC" w14:textId="32197F53" w:rsidR="00DC08BD" w:rsidRDefault="00DC08BD" w:rsidP="00DC08BD">
      <w:pPr>
        <w:pStyle w:val="NoSpacing"/>
        <w:numPr>
          <w:ilvl w:val="0"/>
          <w:numId w:val="9"/>
        </w:numPr>
      </w:pPr>
      <w:r w:rsidRPr="00DC08BD">
        <w:t>The results must be accessible to all, but intellectual property will remain with the researchers.</w:t>
      </w:r>
    </w:p>
    <w:p w14:paraId="6989B15D" w14:textId="59FE83FF" w:rsidR="00DC08BD" w:rsidRDefault="00DC08BD" w:rsidP="00DC08BD">
      <w:pPr>
        <w:pStyle w:val="NoSpacing"/>
        <w:numPr>
          <w:ilvl w:val="0"/>
          <w:numId w:val="9"/>
        </w:numPr>
      </w:pPr>
      <w:r>
        <w:t>T</w:t>
      </w:r>
      <w:r w:rsidRPr="00DC08BD">
        <w:t>he supporting documents will mainly be technical and financial reports, and that specific documents will only be requested in case of doubt.</w:t>
      </w:r>
    </w:p>
    <w:p w14:paraId="37B1CCD5" w14:textId="77777777" w:rsidR="00DC08BD" w:rsidRDefault="00DC08BD" w:rsidP="00DC08BD">
      <w:pPr>
        <w:pStyle w:val="NoSpacing"/>
      </w:pPr>
    </w:p>
    <w:p w14:paraId="508E5158" w14:textId="3B9EE428" w:rsidR="00DC08BD" w:rsidRPr="00174A73" w:rsidRDefault="00174A73" w:rsidP="00DC08BD">
      <w:pPr>
        <w:pStyle w:val="NoSpacing"/>
        <w:rPr>
          <w:b/>
          <w:bCs/>
        </w:rPr>
      </w:pPr>
      <w:r w:rsidRPr="00174A73">
        <w:rPr>
          <w:b/>
          <w:bCs/>
        </w:rPr>
        <w:t xml:space="preserve">Participation </w:t>
      </w:r>
      <w:r w:rsidRPr="00174A73">
        <w:rPr>
          <w:b/>
          <w:bCs/>
        </w:rPr>
        <w:t xml:space="preserve">to conferences </w:t>
      </w:r>
      <w:r w:rsidRPr="00174A73">
        <w:rPr>
          <w:b/>
          <w:bCs/>
        </w:rPr>
        <w:t>and Communication</w:t>
      </w:r>
    </w:p>
    <w:p w14:paraId="745849DE" w14:textId="74193452" w:rsidR="00174A73" w:rsidRDefault="001C76C7" w:rsidP="001C76C7">
      <w:pPr>
        <w:pStyle w:val="NoSpacing"/>
        <w:numPr>
          <w:ilvl w:val="0"/>
          <w:numId w:val="10"/>
        </w:numPr>
      </w:pPr>
      <w:r w:rsidRPr="001C76C7">
        <w:t>participation in conferences and webinars will be required for the communication of the project.</w:t>
      </w:r>
    </w:p>
    <w:p w14:paraId="66B2262D" w14:textId="41CBC900" w:rsidR="001C76C7" w:rsidRDefault="001C76C7" w:rsidP="001C76C7">
      <w:pPr>
        <w:pStyle w:val="NoSpacing"/>
        <w:numPr>
          <w:ilvl w:val="0"/>
          <w:numId w:val="10"/>
        </w:numPr>
      </w:pPr>
      <w:r w:rsidRPr="001C76C7">
        <w:t>that project leaders will be invited to Saint Malo for a meeting and a conference.</w:t>
      </w:r>
    </w:p>
    <w:p w14:paraId="6BF1FE93" w14:textId="10CED4BB" w:rsidR="001C76C7" w:rsidRDefault="001C76C7" w:rsidP="001C76C7">
      <w:pPr>
        <w:pStyle w:val="NoSpacing"/>
        <w:numPr>
          <w:ilvl w:val="0"/>
          <w:numId w:val="10"/>
        </w:numPr>
      </w:pPr>
      <w:r w:rsidRPr="001C76C7">
        <w:t>expenses related to farmers' participation will be covered.</w:t>
      </w:r>
    </w:p>
    <w:p w14:paraId="534E0FC7" w14:textId="77777777" w:rsidR="00174A73" w:rsidRDefault="00174A73" w:rsidP="00DC08BD">
      <w:pPr>
        <w:pStyle w:val="NoSpacing"/>
      </w:pPr>
    </w:p>
    <w:p w14:paraId="092C4726" w14:textId="07BED323" w:rsidR="003771F3" w:rsidRPr="003771F3" w:rsidRDefault="003771F3" w:rsidP="00DC08BD">
      <w:pPr>
        <w:pStyle w:val="NoSpacing"/>
        <w:rPr>
          <w:b/>
          <w:bCs/>
        </w:rPr>
      </w:pPr>
      <w:r w:rsidRPr="003771F3">
        <w:rPr>
          <w:b/>
          <w:bCs/>
        </w:rPr>
        <w:t>How can we facilitate connections between project leaders on similar themes and territories?</w:t>
      </w:r>
    </w:p>
    <w:p w14:paraId="1D4599B3" w14:textId="77777777" w:rsidR="003771F3" w:rsidRDefault="003771F3" w:rsidP="003771F3">
      <w:pPr>
        <w:pStyle w:val="NoSpacing"/>
        <w:rPr>
          <w:b/>
          <w:bCs/>
        </w:rPr>
      </w:pPr>
    </w:p>
    <w:p w14:paraId="3FCEACD2" w14:textId="506712B5" w:rsidR="003771F3" w:rsidRPr="003771F3" w:rsidRDefault="003771F3" w:rsidP="003771F3">
      <w:pPr>
        <w:pStyle w:val="NoSpacing"/>
      </w:pPr>
      <w:r w:rsidRPr="003771F3">
        <w:t>Informal networking platform:</w:t>
      </w:r>
    </w:p>
    <w:p w14:paraId="12B5015A" w14:textId="77777777" w:rsidR="003771F3" w:rsidRPr="003771F3" w:rsidRDefault="003771F3" w:rsidP="003771F3">
      <w:pPr>
        <w:pStyle w:val="NoSpacing"/>
        <w:numPr>
          <w:ilvl w:val="0"/>
          <w:numId w:val="12"/>
        </w:numPr>
      </w:pPr>
      <w:r w:rsidRPr="003771F3">
        <w:t>Share your projects, themes, and territories in the chat</w:t>
      </w:r>
    </w:p>
    <w:p w14:paraId="6666B01B" w14:textId="77777777" w:rsidR="003771F3" w:rsidRPr="003771F3" w:rsidRDefault="003771F3" w:rsidP="003771F3">
      <w:pPr>
        <w:pStyle w:val="NoSpacing"/>
        <w:numPr>
          <w:ilvl w:val="0"/>
          <w:numId w:val="12"/>
        </w:numPr>
      </w:pPr>
      <w:r w:rsidRPr="003771F3">
        <w:t>Use Teams to identify interesting organizations</w:t>
      </w:r>
    </w:p>
    <w:p w14:paraId="79C2C85E" w14:textId="77777777" w:rsidR="003771F3" w:rsidRPr="003771F3" w:rsidRDefault="003771F3" w:rsidP="003771F3">
      <w:pPr>
        <w:pStyle w:val="NoSpacing"/>
        <w:numPr>
          <w:ilvl w:val="0"/>
          <w:numId w:val="12"/>
        </w:numPr>
      </w:pPr>
      <w:r w:rsidRPr="003771F3">
        <w:t>Give project leaders the freedom to contact each other directly</w:t>
      </w:r>
    </w:p>
    <w:p w14:paraId="408DC53F" w14:textId="77777777" w:rsidR="003771F3" w:rsidRPr="003771F3" w:rsidRDefault="003771F3" w:rsidP="003771F3">
      <w:pPr>
        <w:pStyle w:val="NoSpacing"/>
      </w:pPr>
    </w:p>
    <w:p w14:paraId="19D4C88C" w14:textId="77777777" w:rsidR="003771F3" w:rsidRPr="003771F3" w:rsidRDefault="003771F3" w:rsidP="003771F3">
      <w:pPr>
        <w:pStyle w:val="NoSpacing"/>
      </w:pPr>
      <w:r w:rsidRPr="003771F3">
        <w:t>Information dissemination:</w:t>
      </w:r>
    </w:p>
    <w:p w14:paraId="0F897FE8" w14:textId="77777777" w:rsidR="003771F3" w:rsidRPr="003771F3" w:rsidRDefault="003771F3" w:rsidP="003771F3">
      <w:pPr>
        <w:pStyle w:val="NoSpacing"/>
        <w:numPr>
          <w:ilvl w:val="0"/>
          <w:numId w:val="13"/>
        </w:numPr>
      </w:pPr>
      <w:r w:rsidRPr="003771F3">
        <w:t>The endowment fund could distribute a questionnaire to organizations</w:t>
      </w:r>
    </w:p>
    <w:p w14:paraId="7EEC2915" w14:textId="77777777" w:rsidR="003771F3" w:rsidRPr="003771F3" w:rsidRDefault="003771F3" w:rsidP="003771F3">
      <w:pPr>
        <w:pStyle w:val="NoSpacing"/>
        <w:numPr>
          <w:ilvl w:val="0"/>
          <w:numId w:val="13"/>
        </w:numPr>
      </w:pPr>
      <w:r w:rsidRPr="003771F3">
        <w:t>Allow participants to see the list of other connected people</w:t>
      </w:r>
    </w:p>
    <w:p w14:paraId="44F11027" w14:textId="77777777" w:rsidR="003771F3" w:rsidRPr="003771F3" w:rsidRDefault="003771F3" w:rsidP="003771F3">
      <w:pPr>
        <w:pStyle w:val="NoSpacing"/>
      </w:pPr>
    </w:p>
    <w:p w14:paraId="6F057604" w14:textId="77777777" w:rsidR="003771F3" w:rsidRPr="003771F3" w:rsidRDefault="003771F3" w:rsidP="003771F3">
      <w:pPr>
        <w:pStyle w:val="NoSpacing"/>
      </w:pPr>
      <w:r w:rsidRPr="003771F3">
        <w:t>Objectives of this networking:</w:t>
      </w:r>
    </w:p>
    <w:p w14:paraId="2F9EEC17" w14:textId="77777777" w:rsidR="003771F3" w:rsidRPr="003771F3" w:rsidRDefault="003771F3" w:rsidP="003771F3">
      <w:pPr>
        <w:pStyle w:val="NoSpacing"/>
        <w:numPr>
          <w:ilvl w:val="0"/>
          <w:numId w:val="11"/>
        </w:numPr>
      </w:pPr>
      <w:r w:rsidRPr="003771F3">
        <w:t>Promote collaborations between project leaders</w:t>
      </w:r>
    </w:p>
    <w:p w14:paraId="24687913" w14:textId="77777777" w:rsidR="003771F3" w:rsidRPr="003771F3" w:rsidRDefault="003771F3" w:rsidP="003771F3">
      <w:pPr>
        <w:pStyle w:val="NoSpacing"/>
        <w:numPr>
          <w:ilvl w:val="0"/>
          <w:numId w:val="11"/>
        </w:numPr>
      </w:pPr>
      <w:r w:rsidRPr="003771F3">
        <w:t>Develop projects that meet the fund's expectations</w:t>
      </w:r>
    </w:p>
    <w:p w14:paraId="4054D056" w14:textId="77777777" w:rsidR="003771F3" w:rsidRPr="003771F3" w:rsidRDefault="003771F3" w:rsidP="003771F3">
      <w:pPr>
        <w:pStyle w:val="NoSpacing"/>
        <w:numPr>
          <w:ilvl w:val="0"/>
          <w:numId w:val="11"/>
        </w:numPr>
      </w:pPr>
      <w:r w:rsidRPr="003771F3">
        <w:t>Study themes across broad territories</w:t>
      </w:r>
    </w:p>
    <w:p w14:paraId="164B688B" w14:textId="77777777" w:rsidR="003771F3" w:rsidRPr="003771F3" w:rsidRDefault="003771F3" w:rsidP="003771F3">
      <w:pPr>
        <w:pStyle w:val="NoSpacing"/>
        <w:numPr>
          <w:ilvl w:val="0"/>
          <w:numId w:val="11"/>
        </w:numPr>
      </w:pPr>
      <w:r w:rsidRPr="003771F3">
        <w:t>Create connections between project leaders in France and internationally</w:t>
      </w:r>
    </w:p>
    <w:p w14:paraId="65F664CD" w14:textId="77777777" w:rsidR="003771F3" w:rsidRPr="003771F3" w:rsidRDefault="003771F3" w:rsidP="003771F3">
      <w:pPr>
        <w:pStyle w:val="NoSpacing"/>
      </w:pPr>
    </w:p>
    <w:p w14:paraId="7F283292" w14:textId="3885F12D" w:rsidR="003771F3" w:rsidRDefault="003771F3" w:rsidP="003771F3">
      <w:pPr>
        <w:pStyle w:val="NoSpacing"/>
      </w:pPr>
      <w:r w:rsidRPr="003771F3">
        <w:lastRenderedPageBreak/>
        <w:t>The approach is flexible and collaborative, leaving the initiative up to participants to create connections organically.</w:t>
      </w:r>
    </w:p>
    <w:p w14:paraId="5A5AE216" w14:textId="77777777" w:rsidR="003771F3" w:rsidRDefault="003771F3" w:rsidP="003771F3">
      <w:pPr>
        <w:pStyle w:val="NoSpacing"/>
      </w:pPr>
    </w:p>
    <w:p w14:paraId="4037481F" w14:textId="3EFE6CC3" w:rsidR="003771F3" w:rsidRPr="003771F3" w:rsidRDefault="003771F3" w:rsidP="003771F3">
      <w:pPr>
        <w:pStyle w:val="NoSpacing"/>
        <w:rPr>
          <w:b/>
          <w:bCs/>
        </w:rPr>
      </w:pPr>
      <w:r w:rsidRPr="003771F3">
        <w:rPr>
          <w:b/>
          <w:bCs/>
        </w:rPr>
        <w:t xml:space="preserve">Project Evaluation and Relevance </w:t>
      </w:r>
    </w:p>
    <w:p w14:paraId="23D691C0" w14:textId="1637EC1E" w:rsidR="003771F3" w:rsidRDefault="003771F3" w:rsidP="003771F3">
      <w:pPr>
        <w:pStyle w:val="NoSpacing"/>
        <w:numPr>
          <w:ilvl w:val="0"/>
          <w:numId w:val="14"/>
        </w:numPr>
      </w:pPr>
      <w:r>
        <w:t xml:space="preserve">Concept </w:t>
      </w:r>
      <w:r>
        <w:t>notes can be sent to assess the relevance of projects.</w:t>
      </w:r>
    </w:p>
    <w:p w14:paraId="7CFA28D7" w14:textId="15F6A4C5" w:rsidR="003771F3" w:rsidRDefault="003771F3" w:rsidP="003771F3">
      <w:pPr>
        <w:pStyle w:val="NoSpacing"/>
        <w:numPr>
          <w:ilvl w:val="0"/>
          <w:numId w:val="14"/>
        </w:numPr>
      </w:pPr>
      <w:r>
        <w:t>the relevance of projects will be assessed based on their potential for commercialization and their impact.</w:t>
      </w:r>
    </w:p>
    <w:p w14:paraId="4CC26C5B" w14:textId="77777777" w:rsidR="003771F3" w:rsidRDefault="003771F3" w:rsidP="003771F3">
      <w:pPr>
        <w:pStyle w:val="NoSpacing"/>
      </w:pPr>
    </w:p>
    <w:p w14:paraId="022A7136" w14:textId="45010DC9" w:rsidR="003771F3" w:rsidRPr="0035049A" w:rsidRDefault="003771F3" w:rsidP="003771F3">
      <w:pPr>
        <w:pStyle w:val="NoSpacing"/>
        <w:rPr>
          <w:b/>
          <w:bCs/>
        </w:rPr>
      </w:pPr>
      <w:r w:rsidRPr="003771F3">
        <w:rPr>
          <w:b/>
          <w:bCs/>
        </w:rPr>
        <w:t>Considering Change and Project Perspectives</w:t>
      </w:r>
    </w:p>
    <w:p w14:paraId="0456DD2E" w14:textId="77E64821" w:rsidR="0035049A" w:rsidRDefault="0035049A" w:rsidP="0035049A">
      <w:pPr>
        <w:pStyle w:val="NoSpacing"/>
        <w:numPr>
          <w:ilvl w:val="0"/>
          <w:numId w:val="15"/>
        </w:numPr>
      </w:pPr>
      <w:r>
        <w:t>that the project must be designed to be scalable and have an impact on other areas.</w:t>
      </w:r>
    </w:p>
    <w:p w14:paraId="136FCEFB" w14:textId="586A0044" w:rsidR="0035049A" w:rsidRDefault="0035049A" w:rsidP="0035049A">
      <w:pPr>
        <w:pStyle w:val="NoSpacing"/>
        <w:numPr>
          <w:ilvl w:val="0"/>
          <w:numId w:val="15"/>
        </w:numPr>
      </w:pPr>
      <w:r>
        <w:t>the thinking behind the project must demonstrate that it is not intended to end once the funding ends.</w:t>
      </w:r>
    </w:p>
    <w:p w14:paraId="5E99ECBD" w14:textId="547AB00F" w:rsidR="003771F3" w:rsidRDefault="0035049A" w:rsidP="0035049A">
      <w:pPr>
        <w:pStyle w:val="NoSpacing"/>
        <w:numPr>
          <w:ilvl w:val="0"/>
          <w:numId w:val="15"/>
        </w:numPr>
      </w:pPr>
      <w:r>
        <w:t>the project must have a dimension of scale to be eligible.</w:t>
      </w:r>
    </w:p>
    <w:p w14:paraId="6803B13B" w14:textId="77777777" w:rsidR="0035049A" w:rsidRDefault="0035049A" w:rsidP="0035049A">
      <w:pPr>
        <w:pStyle w:val="NoSpacing"/>
      </w:pPr>
    </w:p>
    <w:p w14:paraId="207AED75" w14:textId="39E41498" w:rsidR="0035049A" w:rsidRPr="0035049A" w:rsidRDefault="0035049A" w:rsidP="0035049A">
      <w:pPr>
        <w:pStyle w:val="NoSpacing"/>
        <w:rPr>
          <w:b/>
          <w:bCs/>
        </w:rPr>
      </w:pPr>
      <w:r w:rsidRPr="0035049A">
        <w:rPr>
          <w:b/>
          <w:bCs/>
        </w:rPr>
        <w:t>Calendar and Application File</w:t>
      </w:r>
    </w:p>
    <w:p w14:paraId="5E1F97C9" w14:textId="77777777" w:rsidR="0035049A" w:rsidRDefault="0035049A" w:rsidP="0035049A">
      <w:pPr>
        <w:pStyle w:val="NoSpacing"/>
        <w:numPr>
          <w:ilvl w:val="0"/>
          <w:numId w:val="16"/>
        </w:numPr>
      </w:pPr>
      <w:r>
        <w:t>There are no strict deadlines for letters of intent, but they can help clarify eligibility issues.</w:t>
      </w:r>
    </w:p>
    <w:p w14:paraId="045F3AE2" w14:textId="369F26E2" w:rsidR="0035049A" w:rsidRDefault="0035049A" w:rsidP="0035049A">
      <w:pPr>
        <w:pStyle w:val="NoSpacing"/>
        <w:numPr>
          <w:ilvl w:val="0"/>
          <w:numId w:val="16"/>
        </w:numPr>
      </w:pPr>
      <w:r>
        <w:t>financial tables must be clear and that adjustments can be made based on specific project needs.</w:t>
      </w:r>
    </w:p>
    <w:p w14:paraId="3E0BF6D8" w14:textId="77777777" w:rsidR="0035049A" w:rsidRDefault="0035049A" w:rsidP="0035049A">
      <w:pPr>
        <w:pStyle w:val="NoSpacing"/>
      </w:pPr>
    </w:p>
    <w:p w14:paraId="47763F42" w14:textId="1D88DDE5" w:rsidR="0035049A" w:rsidRPr="0035049A" w:rsidRDefault="0035049A" w:rsidP="0035049A">
      <w:pPr>
        <w:pStyle w:val="NoSpacing"/>
        <w:rPr>
          <w:b/>
          <w:bCs/>
        </w:rPr>
      </w:pPr>
      <w:r w:rsidRPr="0035049A">
        <w:rPr>
          <w:b/>
          <w:bCs/>
        </w:rPr>
        <w:t>Partnerships and Agreements</w:t>
      </w:r>
    </w:p>
    <w:p w14:paraId="4E0DFBA5" w14:textId="77777777" w:rsidR="0035049A" w:rsidRDefault="0035049A" w:rsidP="0035049A">
      <w:pPr>
        <w:pStyle w:val="NoSpacing"/>
        <w:numPr>
          <w:ilvl w:val="0"/>
          <w:numId w:val="17"/>
        </w:numPr>
      </w:pPr>
      <w:r>
        <w:t>Partnerships can be finalized and included in the application.</w:t>
      </w:r>
    </w:p>
    <w:p w14:paraId="097BC63B" w14:textId="32AD2AE0" w:rsidR="0035049A" w:rsidRDefault="0035049A" w:rsidP="0035049A">
      <w:pPr>
        <w:pStyle w:val="NoSpacing"/>
        <w:numPr>
          <w:ilvl w:val="0"/>
          <w:numId w:val="17"/>
        </w:numPr>
      </w:pPr>
      <w:r>
        <w:t>letters of commitment and agreements must be provided to demonstrate the partners' preparedness.</w:t>
      </w:r>
    </w:p>
    <w:p w14:paraId="185C9DA9" w14:textId="57A65ED3" w:rsidR="0035049A" w:rsidRDefault="0035049A" w:rsidP="0035049A">
      <w:pPr>
        <w:pStyle w:val="NoSpacing"/>
        <w:numPr>
          <w:ilvl w:val="0"/>
          <w:numId w:val="17"/>
        </w:numPr>
      </w:pPr>
      <w:r>
        <w:t>the application must include information on the partners involved in the construction of the project.</w:t>
      </w:r>
    </w:p>
    <w:p w14:paraId="5A1A6515" w14:textId="77777777" w:rsidR="0035049A" w:rsidRDefault="0035049A" w:rsidP="0035049A">
      <w:pPr>
        <w:pStyle w:val="NoSpacing"/>
      </w:pPr>
    </w:p>
    <w:p w14:paraId="69D891CF" w14:textId="4588258B" w:rsidR="0035049A" w:rsidRPr="0035049A" w:rsidRDefault="0035049A" w:rsidP="0035049A">
      <w:pPr>
        <w:pStyle w:val="NoSpacing"/>
        <w:rPr>
          <w:b/>
          <w:bCs/>
        </w:rPr>
      </w:pPr>
      <w:r w:rsidRPr="0035049A">
        <w:rPr>
          <w:b/>
          <w:bCs/>
        </w:rPr>
        <w:t>Technical Support and Project Engineering</w:t>
      </w:r>
    </w:p>
    <w:p w14:paraId="0602DC67" w14:textId="77777777" w:rsidR="0035049A" w:rsidRDefault="0035049A" w:rsidP="0035049A">
      <w:pPr>
        <w:pStyle w:val="NoSpacing"/>
        <w:numPr>
          <w:ilvl w:val="0"/>
          <w:numId w:val="18"/>
        </w:numPr>
      </w:pPr>
      <w:r>
        <w:t>Technical support will be provided by experts from the Global Innovation Center and the Expert Network.</w:t>
      </w:r>
    </w:p>
    <w:p w14:paraId="36CE1617" w14:textId="702E8164" w:rsidR="0035049A" w:rsidRDefault="0035049A" w:rsidP="0035049A">
      <w:pPr>
        <w:pStyle w:val="NoSpacing"/>
        <w:numPr>
          <w:ilvl w:val="0"/>
          <w:numId w:val="18"/>
        </w:numPr>
      </w:pPr>
      <w:r>
        <w:t>T</w:t>
      </w:r>
      <w:r>
        <w:t>echnical support will not be continuous, but rather advice and guidance.</w:t>
      </w:r>
    </w:p>
    <w:p w14:paraId="0D3DB8EE" w14:textId="7A5559B7" w:rsidR="0035049A" w:rsidRDefault="0035049A" w:rsidP="0035049A">
      <w:pPr>
        <w:pStyle w:val="NoSpacing"/>
        <w:numPr>
          <w:ilvl w:val="0"/>
          <w:numId w:val="18"/>
        </w:numPr>
      </w:pPr>
      <w:r>
        <w:t>D</w:t>
      </w:r>
      <w:r>
        <w:t>irect exchanges with partners will be organized to discuss project progress.</w:t>
      </w:r>
    </w:p>
    <w:p w14:paraId="39BEE3E3" w14:textId="77777777" w:rsidR="0035049A" w:rsidRDefault="0035049A" w:rsidP="0035049A">
      <w:pPr>
        <w:pStyle w:val="NoSpacing"/>
        <w:numPr>
          <w:ilvl w:val="0"/>
          <w:numId w:val="18"/>
        </w:numPr>
      </w:pPr>
      <w:r>
        <w:t>All production areas are eligible, including livestock and crop production.</w:t>
      </w:r>
    </w:p>
    <w:p w14:paraId="6B3941E5" w14:textId="048AE22A" w:rsidR="0035049A" w:rsidRDefault="0035049A" w:rsidP="0035049A">
      <w:pPr>
        <w:pStyle w:val="NoSpacing"/>
        <w:numPr>
          <w:ilvl w:val="0"/>
          <w:numId w:val="18"/>
        </w:numPr>
      </w:pPr>
      <w:r>
        <w:t>S</w:t>
      </w:r>
      <w:r>
        <w:t>trategic meetings will be important.</w:t>
      </w:r>
    </w:p>
    <w:p w14:paraId="6AC6885D" w14:textId="48F59564" w:rsidR="0035049A" w:rsidRDefault="0035049A" w:rsidP="0035049A">
      <w:pPr>
        <w:pStyle w:val="NoSpacing"/>
      </w:pPr>
    </w:p>
    <w:p w14:paraId="406656EA" w14:textId="43BFFCED" w:rsidR="0035049A" w:rsidRPr="0035049A" w:rsidRDefault="0035049A" w:rsidP="0035049A">
      <w:pPr>
        <w:pStyle w:val="NoSpacing"/>
        <w:rPr>
          <w:b/>
          <w:bCs/>
        </w:rPr>
      </w:pPr>
      <w:r w:rsidRPr="0035049A">
        <w:rPr>
          <w:b/>
          <w:bCs/>
        </w:rPr>
        <w:t>Support for Communication and Promotion</w:t>
      </w:r>
    </w:p>
    <w:p w14:paraId="63122169" w14:textId="77777777" w:rsidR="005512EB" w:rsidRDefault="005512EB" w:rsidP="005512EB">
      <w:pPr>
        <w:pStyle w:val="NoSpacing"/>
        <w:numPr>
          <w:ilvl w:val="0"/>
          <w:numId w:val="19"/>
        </w:numPr>
      </w:pPr>
      <w:r>
        <w:t>Technical support will also include assistance with communication and project promotion.</w:t>
      </w:r>
    </w:p>
    <w:p w14:paraId="49989E5F" w14:textId="52F6E01D" w:rsidR="005512EB" w:rsidRDefault="005512EB" w:rsidP="005512EB">
      <w:pPr>
        <w:pStyle w:val="NoSpacing"/>
        <w:numPr>
          <w:ilvl w:val="0"/>
          <w:numId w:val="19"/>
        </w:numPr>
      </w:pPr>
      <w:r>
        <w:t>technical support will be provided by experts from the Global Innovation Center and the Expert Network.</w:t>
      </w:r>
    </w:p>
    <w:p w14:paraId="1AB2E0DF" w14:textId="6400996A" w:rsidR="0035049A" w:rsidRPr="003771F3" w:rsidRDefault="005512EB" w:rsidP="005512EB">
      <w:pPr>
        <w:pStyle w:val="NoSpacing"/>
        <w:numPr>
          <w:ilvl w:val="0"/>
          <w:numId w:val="19"/>
        </w:numPr>
      </w:pPr>
      <w:r>
        <w:t>technical support will not be continuous, but will consist of advice and guidance.</w:t>
      </w:r>
    </w:p>
    <w:sectPr w:rsidR="0035049A" w:rsidRPr="003771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55EC3" w14:textId="77777777" w:rsidR="00317EE0" w:rsidRDefault="00317EE0" w:rsidP="00541B3D">
      <w:pPr>
        <w:spacing w:after="0" w:line="240" w:lineRule="auto"/>
      </w:pPr>
      <w:r>
        <w:separator/>
      </w:r>
    </w:p>
  </w:endnote>
  <w:endnote w:type="continuationSeparator" w:id="0">
    <w:p w14:paraId="5B4B4843" w14:textId="77777777" w:rsidR="00317EE0" w:rsidRDefault="00317EE0" w:rsidP="00541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E10B9" w14:textId="77777777" w:rsidR="00B5539F" w:rsidRDefault="00B553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89835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D916FA" w14:textId="0AFF2B30" w:rsidR="00541B3D" w:rsidRDefault="00541B3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E39393" w14:textId="77777777" w:rsidR="00541B3D" w:rsidRDefault="00541B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101F8" w14:textId="77777777" w:rsidR="00B5539F" w:rsidRDefault="00B553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A43F2" w14:textId="77777777" w:rsidR="00317EE0" w:rsidRDefault="00317EE0" w:rsidP="00541B3D">
      <w:pPr>
        <w:spacing w:after="0" w:line="240" w:lineRule="auto"/>
      </w:pPr>
      <w:r>
        <w:separator/>
      </w:r>
    </w:p>
  </w:footnote>
  <w:footnote w:type="continuationSeparator" w:id="0">
    <w:p w14:paraId="1D3C7E3D" w14:textId="77777777" w:rsidR="00317EE0" w:rsidRDefault="00317EE0" w:rsidP="00541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9AA4B" w14:textId="77777777" w:rsidR="00B5539F" w:rsidRDefault="00B553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AEC4A" w14:textId="4FAEEBCF" w:rsidR="00541B3D" w:rsidRDefault="00541B3D" w:rsidP="00541B3D">
    <w:pPr>
      <w:jc w:val="center"/>
      <w:rPr>
        <w:snapToGrid w:val="0"/>
        <w:sz w:val="24"/>
        <w:szCs w:val="24"/>
        <w:lang w:val="en-GB"/>
      </w:rPr>
    </w:pPr>
    <w:bookmarkStart w:id="0" w:name="_Toc189813345"/>
    <w:r>
      <w:rPr>
        <w:noProof/>
      </w:rPr>
      <w:drawing>
        <wp:anchor distT="0" distB="0" distL="114300" distR="114300" simplePos="0" relativeHeight="251660288" behindDoc="1" locked="0" layoutInCell="1" allowOverlap="1" wp14:anchorId="5387AF6B" wp14:editId="1761823A">
          <wp:simplePos x="0" y="0"/>
          <wp:positionH relativeFrom="column">
            <wp:posOffset>5388659</wp:posOffset>
          </wp:positionH>
          <wp:positionV relativeFrom="paragraph">
            <wp:posOffset>-103407</wp:posOffset>
          </wp:positionV>
          <wp:extent cx="838835" cy="633730"/>
          <wp:effectExtent l="0" t="0" r="0" b="0"/>
          <wp:wrapTight wrapText="bothSides">
            <wp:wrapPolygon edited="0">
              <wp:start x="0" y="0"/>
              <wp:lineTo x="0" y="20778"/>
              <wp:lineTo x="21093" y="20778"/>
              <wp:lineTo x="21093" y="0"/>
              <wp:lineTo x="0" y="0"/>
            </wp:wrapPolygon>
          </wp:wrapTight>
          <wp:docPr id="1905618956" name="Picture 3" descr="A blue flag with yellow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5618956" name="Picture 3" descr="A blue flag with yellow sta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35" cy="633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2CDA332" wp14:editId="75FA6A83">
          <wp:simplePos x="0" y="0"/>
          <wp:positionH relativeFrom="column">
            <wp:posOffset>-465259</wp:posOffset>
          </wp:positionH>
          <wp:positionV relativeFrom="paragraph">
            <wp:posOffset>-195922</wp:posOffset>
          </wp:positionV>
          <wp:extent cx="451315" cy="590550"/>
          <wp:effectExtent l="0" t="0" r="6350" b="0"/>
          <wp:wrapTight wrapText="bothSides">
            <wp:wrapPolygon edited="0">
              <wp:start x="0" y="0"/>
              <wp:lineTo x="0" y="20903"/>
              <wp:lineTo x="20992" y="20903"/>
              <wp:lineTo x="20992" y="0"/>
              <wp:lineTo x="0" y="0"/>
            </wp:wrapPolygon>
          </wp:wrapTight>
          <wp:docPr id="939663627" name="Picture 2" descr="A logo of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663627" name="Picture 2" descr="A logo of a company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1315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napToGrid w:val="0"/>
        <w:sz w:val="24"/>
        <w:szCs w:val="24"/>
        <w:lang w:val="en-GB"/>
      </w:rPr>
      <w:t>Transcript and translation</w:t>
    </w:r>
    <w:bookmarkEnd w:id="0"/>
    <w:r>
      <w:rPr>
        <w:snapToGrid w:val="0"/>
        <w:sz w:val="24"/>
        <w:szCs w:val="24"/>
        <w:lang w:val="en-GB"/>
      </w:rPr>
      <w:t xml:space="preserve"> Q&amp;A webinar</w:t>
    </w:r>
    <w:r w:rsidR="00B5539F">
      <w:rPr>
        <w:snapToGrid w:val="0"/>
        <w:sz w:val="24"/>
        <w:szCs w:val="24"/>
        <w:lang w:val="en-GB"/>
      </w:rPr>
      <w:t xml:space="preserve"> 10 March 2025</w:t>
    </w:r>
  </w:p>
  <w:p w14:paraId="3C830E6F" w14:textId="7E217D27" w:rsidR="00B5539F" w:rsidRPr="004D6486" w:rsidRDefault="00B5539F" w:rsidP="00541B3D">
    <w:pPr>
      <w:jc w:val="center"/>
      <w:rPr>
        <w:snapToGrid w:val="0"/>
        <w:sz w:val="24"/>
        <w:szCs w:val="24"/>
        <w:lang w:val="en-GB"/>
      </w:rPr>
    </w:pPr>
    <w:r w:rsidRPr="00B5539F">
      <w:rPr>
        <w:snapToGrid w:val="0"/>
        <w:sz w:val="24"/>
        <w:szCs w:val="24"/>
        <w:lang w:val="en-GB"/>
      </w:rPr>
      <w:t>Fonds de Dotation Roullier</w:t>
    </w:r>
    <w:r>
      <w:rPr>
        <w:snapToGrid w:val="0"/>
        <w:sz w:val="24"/>
        <w:szCs w:val="24"/>
        <w:lang w:val="en-GB"/>
      </w:rPr>
      <w:t>:</w:t>
    </w:r>
    <w:r w:rsidRPr="00B5539F">
      <w:t xml:space="preserve"> </w:t>
    </w:r>
    <w:r w:rsidRPr="00B5539F">
      <w:rPr>
        <w:snapToGrid w:val="0"/>
        <w:sz w:val="24"/>
        <w:szCs w:val="24"/>
        <w:lang w:val="en-GB"/>
      </w:rPr>
      <w:t>innovative research into soil</w:t>
    </w:r>
  </w:p>
  <w:p w14:paraId="061D4C50" w14:textId="77777777" w:rsidR="00541B3D" w:rsidRDefault="00541B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35C12" w14:textId="77777777" w:rsidR="00B5539F" w:rsidRDefault="00B553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872"/>
    <w:multiLevelType w:val="hybridMultilevel"/>
    <w:tmpl w:val="0376074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54E13"/>
    <w:multiLevelType w:val="multilevel"/>
    <w:tmpl w:val="F7BC7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D155AD"/>
    <w:multiLevelType w:val="hybridMultilevel"/>
    <w:tmpl w:val="4926C79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A5250"/>
    <w:multiLevelType w:val="hybridMultilevel"/>
    <w:tmpl w:val="009479C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01CE0"/>
    <w:multiLevelType w:val="hybridMultilevel"/>
    <w:tmpl w:val="C9C2B51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75816"/>
    <w:multiLevelType w:val="hybridMultilevel"/>
    <w:tmpl w:val="1142938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30ADE"/>
    <w:multiLevelType w:val="hybridMultilevel"/>
    <w:tmpl w:val="0E540BF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A10FA"/>
    <w:multiLevelType w:val="hybridMultilevel"/>
    <w:tmpl w:val="DB8C119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701053"/>
    <w:multiLevelType w:val="hybridMultilevel"/>
    <w:tmpl w:val="C930BE5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9F5623"/>
    <w:multiLevelType w:val="hybridMultilevel"/>
    <w:tmpl w:val="A9D4C2D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61A30"/>
    <w:multiLevelType w:val="hybridMultilevel"/>
    <w:tmpl w:val="C528264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005560"/>
    <w:multiLevelType w:val="hybridMultilevel"/>
    <w:tmpl w:val="31E2FC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3B090B"/>
    <w:multiLevelType w:val="hybridMultilevel"/>
    <w:tmpl w:val="5C44322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71737A"/>
    <w:multiLevelType w:val="hybridMultilevel"/>
    <w:tmpl w:val="D29C33F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3B27A8"/>
    <w:multiLevelType w:val="hybridMultilevel"/>
    <w:tmpl w:val="1220D44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AE5E68"/>
    <w:multiLevelType w:val="hybridMultilevel"/>
    <w:tmpl w:val="20C8FE3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784936"/>
    <w:multiLevelType w:val="hybridMultilevel"/>
    <w:tmpl w:val="D5E8E0E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6867ED"/>
    <w:multiLevelType w:val="hybridMultilevel"/>
    <w:tmpl w:val="6632E3D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765DB7"/>
    <w:multiLevelType w:val="hybridMultilevel"/>
    <w:tmpl w:val="E696985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310455">
    <w:abstractNumId w:val="4"/>
  </w:num>
  <w:num w:numId="2" w16cid:durableId="876159984">
    <w:abstractNumId w:val="12"/>
  </w:num>
  <w:num w:numId="3" w16cid:durableId="393823068">
    <w:abstractNumId w:val="17"/>
  </w:num>
  <w:num w:numId="4" w16cid:durableId="1993947389">
    <w:abstractNumId w:val="18"/>
  </w:num>
  <w:num w:numId="5" w16cid:durableId="1569995924">
    <w:abstractNumId w:val="7"/>
  </w:num>
  <w:num w:numId="6" w16cid:durableId="716853432">
    <w:abstractNumId w:val="13"/>
  </w:num>
  <w:num w:numId="7" w16cid:durableId="652413435">
    <w:abstractNumId w:val="5"/>
  </w:num>
  <w:num w:numId="8" w16cid:durableId="1782606332">
    <w:abstractNumId w:val="1"/>
  </w:num>
  <w:num w:numId="9" w16cid:durableId="760375572">
    <w:abstractNumId w:val="0"/>
  </w:num>
  <w:num w:numId="10" w16cid:durableId="1867795448">
    <w:abstractNumId w:val="6"/>
  </w:num>
  <w:num w:numId="11" w16cid:durableId="168762291">
    <w:abstractNumId w:val="10"/>
  </w:num>
  <w:num w:numId="12" w16cid:durableId="2048410433">
    <w:abstractNumId w:val="11"/>
  </w:num>
  <w:num w:numId="13" w16cid:durableId="2082671586">
    <w:abstractNumId w:val="2"/>
  </w:num>
  <w:num w:numId="14" w16cid:durableId="17973952">
    <w:abstractNumId w:val="16"/>
  </w:num>
  <w:num w:numId="15" w16cid:durableId="346563163">
    <w:abstractNumId w:val="8"/>
  </w:num>
  <w:num w:numId="16" w16cid:durableId="1536113123">
    <w:abstractNumId w:val="15"/>
  </w:num>
  <w:num w:numId="17" w16cid:durableId="356345894">
    <w:abstractNumId w:val="9"/>
  </w:num>
  <w:num w:numId="18" w16cid:durableId="1404838372">
    <w:abstractNumId w:val="14"/>
  </w:num>
  <w:num w:numId="19" w16cid:durableId="11655864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B3D"/>
    <w:rsid w:val="000E21A6"/>
    <w:rsid w:val="00174A73"/>
    <w:rsid w:val="00183C99"/>
    <w:rsid w:val="001C76C7"/>
    <w:rsid w:val="00277BA5"/>
    <w:rsid w:val="00317EE0"/>
    <w:rsid w:val="0035049A"/>
    <w:rsid w:val="003771F3"/>
    <w:rsid w:val="00387BAC"/>
    <w:rsid w:val="00541B3D"/>
    <w:rsid w:val="005512EB"/>
    <w:rsid w:val="005726E2"/>
    <w:rsid w:val="006F7528"/>
    <w:rsid w:val="00B5539F"/>
    <w:rsid w:val="00C663C1"/>
    <w:rsid w:val="00CB5E4B"/>
    <w:rsid w:val="00DC08BD"/>
    <w:rsid w:val="00EA7121"/>
    <w:rsid w:val="00F9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069D77"/>
  <w15:chartTrackingRefBased/>
  <w15:docId w15:val="{52E09C3E-A4A6-47FC-B26A-9B03194CB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B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1B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1B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1B3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1B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1B3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1B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1B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1B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1B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1B3D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n-BE"/>
    </w:rPr>
  </w:style>
  <w:style w:type="character" w:customStyle="1" w:styleId="Heading2Char">
    <w:name w:val="Heading 2 Char"/>
    <w:basedOn w:val="DefaultParagraphFont"/>
    <w:link w:val="Heading2"/>
    <w:uiPriority w:val="9"/>
    <w:rsid w:val="00541B3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B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1B3D"/>
    <w:rPr>
      <w:rFonts w:eastAsiaTheme="majorEastAsia" w:cstheme="majorBidi"/>
      <w:color w:val="2E74B5" w:themeColor="accent1" w:themeShade="BF"/>
      <w:sz w:val="28"/>
      <w:szCs w:val="28"/>
      <w:lang w:val="en-B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1B3D"/>
    <w:rPr>
      <w:rFonts w:eastAsiaTheme="majorEastAsia" w:cstheme="majorBidi"/>
      <w:i/>
      <w:iCs/>
      <w:color w:val="2E74B5" w:themeColor="accent1" w:themeShade="BF"/>
      <w:lang w:val="en-B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1B3D"/>
    <w:rPr>
      <w:rFonts w:eastAsiaTheme="majorEastAsia" w:cstheme="majorBidi"/>
      <w:color w:val="2E74B5" w:themeColor="accent1" w:themeShade="BF"/>
      <w:lang w:val="en-B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1B3D"/>
    <w:rPr>
      <w:rFonts w:eastAsiaTheme="majorEastAsia" w:cstheme="majorBidi"/>
      <w:i/>
      <w:iCs/>
      <w:color w:val="595959" w:themeColor="text1" w:themeTint="A6"/>
      <w:lang w:val="en-B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1B3D"/>
    <w:rPr>
      <w:rFonts w:eastAsiaTheme="majorEastAsia" w:cstheme="majorBidi"/>
      <w:color w:val="595959" w:themeColor="text1" w:themeTint="A6"/>
      <w:lang w:val="en-B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1B3D"/>
    <w:rPr>
      <w:rFonts w:eastAsiaTheme="majorEastAsia" w:cstheme="majorBidi"/>
      <w:i/>
      <w:iCs/>
      <w:color w:val="272727" w:themeColor="text1" w:themeTint="D8"/>
      <w:lang w:val="en-B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1B3D"/>
    <w:rPr>
      <w:rFonts w:eastAsiaTheme="majorEastAsia" w:cstheme="majorBidi"/>
      <w:color w:val="272727" w:themeColor="text1" w:themeTint="D8"/>
      <w:lang w:val="en-BE"/>
    </w:rPr>
  </w:style>
  <w:style w:type="paragraph" w:styleId="Title">
    <w:name w:val="Title"/>
    <w:basedOn w:val="Normal"/>
    <w:next w:val="Normal"/>
    <w:link w:val="TitleChar"/>
    <w:uiPriority w:val="10"/>
    <w:qFormat/>
    <w:rsid w:val="00541B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1B3D"/>
    <w:rPr>
      <w:rFonts w:asciiTheme="majorHAnsi" w:eastAsiaTheme="majorEastAsia" w:hAnsiTheme="majorHAnsi" w:cstheme="majorBidi"/>
      <w:spacing w:val="-10"/>
      <w:kern w:val="28"/>
      <w:sz w:val="56"/>
      <w:szCs w:val="56"/>
      <w:lang w:val="en-B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1B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1B3D"/>
    <w:rPr>
      <w:rFonts w:eastAsiaTheme="majorEastAsia" w:cstheme="majorBidi"/>
      <w:color w:val="595959" w:themeColor="text1" w:themeTint="A6"/>
      <w:spacing w:val="15"/>
      <w:sz w:val="28"/>
      <w:szCs w:val="28"/>
      <w:lang w:val="en-BE"/>
    </w:rPr>
  </w:style>
  <w:style w:type="paragraph" w:styleId="Quote">
    <w:name w:val="Quote"/>
    <w:basedOn w:val="Normal"/>
    <w:next w:val="Normal"/>
    <w:link w:val="QuoteChar"/>
    <w:uiPriority w:val="29"/>
    <w:qFormat/>
    <w:rsid w:val="00541B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1B3D"/>
    <w:rPr>
      <w:i/>
      <w:iCs/>
      <w:color w:val="404040" w:themeColor="text1" w:themeTint="BF"/>
      <w:lang w:val="en-BE"/>
    </w:rPr>
  </w:style>
  <w:style w:type="paragraph" w:styleId="ListParagraph">
    <w:name w:val="List Paragraph"/>
    <w:basedOn w:val="Normal"/>
    <w:uiPriority w:val="34"/>
    <w:qFormat/>
    <w:rsid w:val="00541B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1B3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1B3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1B3D"/>
    <w:rPr>
      <w:i/>
      <w:iCs/>
      <w:color w:val="2E74B5" w:themeColor="accent1" w:themeShade="BF"/>
      <w:lang w:val="en-BE"/>
    </w:rPr>
  </w:style>
  <w:style w:type="character" w:styleId="IntenseReference">
    <w:name w:val="Intense Reference"/>
    <w:basedOn w:val="DefaultParagraphFont"/>
    <w:uiPriority w:val="32"/>
    <w:qFormat/>
    <w:rsid w:val="00541B3D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541B3D"/>
    <w:pPr>
      <w:spacing w:after="0" w:line="240" w:lineRule="auto"/>
    </w:pPr>
    <w:rPr>
      <w:lang w:val="en-BE"/>
    </w:rPr>
  </w:style>
  <w:style w:type="paragraph" w:styleId="Header">
    <w:name w:val="header"/>
    <w:basedOn w:val="Normal"/>
    <w:link w:val="HeaderChar"/>
    <w:uiPriority w:val="99"/>
    <w:unhideWhenUsed/>
    <w:rsid w:val="00541B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B3D"/>
    <w:rPr>
      <w:lang w:val="en-BE"/>
    </w:rPr>
  </w:style>
  <w:style w:type="paragraph" w:styleId="Footer">
    <w:name w:val="footer"/>
    <w:basedOn w:val="Normal"/>
    <w:link w:val="FooterChar"/>
    <w:uiPriority w:val="99"/>
    <w:unhideWhenUsed/>
    <w:rsid w:val="00541B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B3D"/>
    <w:rPr>
      <w:lang w:val="en-BE"/>
    </w:rPr>
  </w:style>
  <w:style w:type="character" w:styleId="Hyperlink">
    <w:name w:val="Hyperlink"/>
    <w:basedOn w:val="DefaultParagraphFont"/>
    <w:uiPriority w:val="99"/>
    <w:unhideWhenUsed/>
    <w:rsid w:val="00541B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1B3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C08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ndsdedotationroullier.org/en/evenement/webinar-registration-call-for-research-projects-soil-research-2025-2028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nature.com/articles/s41598-025-92206-2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aepard.blogspot.com/2025/03/call-for-research-projects-fonds-de.htm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1221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 Stepman</dc:creator>
  <cp:keywords/>
  <dc:description/>
  <cp:lastModifiedBy>Francois Stepman</cp:lastModifiedBy>
  <cp:revision>8</cp:revision>
  <dcterms:created xsi:type="dcterms:W3CDTF">2025-03-19T07:33:00Z</dcterms:created>
  <dcterms:modified xsi:type="dcterms:W3CDTF">2025-03-19T11:36:00Z</dcterms:modified>
</cp:coreProperties>
</file>